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48" w:rsidRDefault="003D5F48" w:rsidP="000E63D4">
      <w:pPr>
        <w:jc w:val="both"/>
        <w:rPr>
          <w:b/>
          <w:sz w:val="28"/>
          <w:szCs w:val="28"/>
        </w:rPr>
      </w:pPr>
    </w:p>
    <w:p w:rsidR="00537629" w:rsidRPr="00A111A1" w:rsidRDefault="00537629" w:rsidP="00537629">
      <w:pPr>
        <w:shd w:val="clear" w:color="auto" w:fill="FFFFFF"/>
        <w:jc w:val="center"/>
        <w:rPr>
          <w:color w:val="000000"/>
          <w:sz w:val="21"/>
          <w:szCs w:val="21"/>
        </w:rPr>
      </w:pPr>
      <w:r w:rsidRPr="00A111A1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Додаток  до рішення </w:t>
      </w:r>
    </w:p>
    <w:p w:rsidR="00537629" w:rsidRPr="00A111A1" w:rsidRDefault="00537629" w:rsidP="00537629">
      <w:pPr>
        <w:shd w:val="clear" w:color="auto" w:fill="FFFFFF"/>
        <w:jc w:val="right"/>
        <w:rPr>
          <w:color w:val="000000"/>
          <w:sz w:val="21"/>
          <w:szCs w:val="21"/>
        </w:rPr>
      </w:pPr>
      <w:r w:rsidRPr="00A111A1">
        <w:rPr>
          <w:color w:val="000000"/>
          <w:sz w:val="21"/>
          <w:szCs w:val="21"/>
        </w:rPr>
        <w:t xml:space="preserve">П'ядицької сільської ради </w:t>
      </w:r>
    </w:p>
    <w:p w:rsidR="00537629" w:rsidRPr="00AC5BB2" w:rsidRDefault="00AC5BB2" w:rsidP="00537629">
      <w:pPr>
        <w:shd w:val="clear" w:color="auto" w:fill="FFFFFF"/>
        <w:jc w:val="right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№</w:t>
      </w:r>
      <w:r>
        <w:rPr>
          <w:color w:val="000000"/>
          <w:sz w:val="21"/>
          <w:szCs w:val="21"/>
          <w:u w:val="single"/>
        </w:rPr>
        <w:t xml:space="preserve">120-ІІ/2021 </w:t>
      </w:r>
      <w:r>
        <w:rPr>
          <w:color w:val="000000"/>
          <w:sz w:val="21"/>
          <w:szCs w:val="21"/>
        </w:rPr>
        <w:t xml:space="preserve">від  </w:t>
      </w:r>
      <w:r>
        <w:rPr>
          <w:color w:val="000000"/>
          <w:sz w:val="21"/>
          <w:szCs w:val="21"/>
          <w:u w:val="single"/>
        </w:rPr>
        <w:t>23.02.2021р.</w:t>
      </w:r>
    </w:p>
    <w:p w:rsidR="00537629" w:rsidRPr="00D21780" w:rsidRDefault="00537629" w:rsidP="00537629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D2178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ПОЛОЖЕННЯ</w:t>
      </w:r>
    </w:p>
    <w:p w:rsidR="00537629" w:rsidRPr="00D21780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D2178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 преміювання працівників </w:t>
      </w:r>
      <w:proofErr w:type="spellStart"/>
      <w:r w:rsidRPr="00D2178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D2178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</w:t>
      </w:r>
    </w:p>
    <w:p w:rsidR="00537629" w:rsidRPr="00D21780" w:rsidRDefault="00537629" w:rsidP="0053762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21780">
        <w:rPr>
          <w:rFonts w:ascii="Arial" w:hAnsi="Arial" w:cs="Arial"/>
          <w:color w:val="000000"/>
          <w:sz w:val="28"/>
          <w:szCs w:val="28"/>
        </w:rPr>
        <w:t xml:space="preserve"> </w:t>
      </w:r>
      <w:r w:rsidR="00D21780" w:rsidRPr="00D21780">
        <w:rPr>
          <w:b/>
          <w:color w:val="000000"/>
          <w:sz w:val="28"/>
          <w:szCs w:val="28"/>
        </w:rPr>
        <w:t>на І КВАРТАЛ 2021 РОКУ</w:t>
      </w:r>
      <w:r w:rsidRPr="00D21780">
        <w:rPr>
          <w:b/>
          <w:color w:val="000000"/>
          <w:sz w:val="28"/>
          <w:szCs w:val="28"/>
        </w:rPr>
        <w:t xml:space="preserve">  </w:t>
      </w:r>
    </w:p>
    <w:p w:rsidR="00D21780" w:rsidRPr="00D21780" w:rsidRDefault="00D21780" w:rsidP="00537629">
      <w:pPr>
        <w:shd w:val="clear" w:color="auto" w:fill="FFFFFF"/>
        <w:jc w:val="center"/>
        <w:rPr>
          <w:b/>
          <w:color w:val="000000"/>
          <w:sz w:val="21"/>
          <w:szCs w:val="21"/>
        </w:rPr>
      </w:pPr>
    </w:p>
    <w:p w:rsidR="00537629" w:rsidRPr="00491F2E" w:rsidRDefault="00537629" w:rsidP="0053762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 Загальні положення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1.1.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Положення про преміювання працівників апарату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  ради (далі — Положення) розроблене відповідно до законів України «Про службу в органах місцевого самоврядування», «Про оплату праці», постанови Кабінету Міністрів України від 9 березня 2006 року № 268 «Про упорядкування структури та умов оплати праці праців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ників апарату органів виконавчої влади, органів прокуратури, судів та інших органів»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зі змінами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колективного договору з метою сприяння забезпечення своєчасного та якісного виконання завдань, планів, доручень органів влади, посилення впливу матеріального заохочення на покращення результатів роботи посадових осіб місцевого самоврядування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ради, стимулювання їх праці залежно від ініціативи, творчості в роботі, добросовісності виконання поса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дових обов'язків  та особистого внеску в загальні результати роботи.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   Це положення визначає порядок формування і використання фонду преміювання, умови і порядок визначення розміру премій працівникам сільської ради.</w:t>
      </w:r>
      <w:bookmarkStart w:id="0" w:name="_GoBack"/>
      <w:bookmarkEnd w:id="0"/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 1.2.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Дія цього Положення поширюється на всіх працівників сільської ради, в тому числі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її голови,  секретаря, начальників відділів, головних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спеціалістів,  спеціалістів та працівників обслуговуючого персоналу</w:t>
      </w:r>
      <w:r w:rsidR="004B70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91F2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апарату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</w:t>
      </w:r>
      <w:r w:rsidR="004B70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її виконавчих органів.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1.3.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Преміювання працівників апарату сільської  ради здійснюється відповідно до їх особистого внеску в загальні результати роботи за під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сумками роботи за місяць.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1.4.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За виконання особливо важливої роботи з урахуванням особистого внеску,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 нагоди професійного свята День місцевого самоврядування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розпорядженням сільського голови працівникам може бути виплачена одноразова премія в межах затвердженого фонду оплати праці.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 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</w:rPr>
        <w:t>1.5</w:t>
      </w:r>
      <w:r w:rsidRPr="003D28ED">
        <w:rPr>
          <w:color w:val="000000"/>
          <w:sz w:val="28"/>
          <w:szCs w:val="28"/>
          <w:bdr w:val="none" w:sz="0" w:space="0" w:color="auto" w:frame="1"/>
        </w:rPr>
        <w:t>. Премія не нараховується працівникам за час відпусток, тимчасової непрацездатності, відрядженим на навчання з метою підвищення кваліфі</w:t>
      </w:r>
      <w:r w:rsidRPr="003D28ED">
        <w:rPr>
          <w:color w:val="000000"/>
          <w:sz w:val="28"/>
          <w:szCs w:val="28"/>
          <w:bdr w:val="none" w:sz="0" w:space="0" w:color="auto" w:frame="1"/>
        </w:rPr>
        <w:softHyphen/>
        <w:t>кації.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1.6.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Працівникам, які звільнені з роботи в місяць, за який проводиться  преміювання, премії не виплачуються, за винятком працівників, які вийшли на пенсію, звільнилися за станом здоров'я.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 1.7.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Працівникам, яким винесена догана, премія не виплачується протягом дії дисциплінарного стягнення.</w:t>
      </w:r>
    </w:p>
    <w:p w:rsidR="00537629" w:rsidRPr="003D28ED" w:rsidRDefault="00537629" w:rsidP="00D06FC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Фонд преміювання.</w:t>
      </w:r>
    </w:p>
    <w:p w:rsidR="00537629" w:rsidRPr="003F64E9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Фонд преміювання (щомісячна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премія, одноразові премії до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Дня місцевого самоврядування) працівників апарату сільської  ради утворюється в межах коштів, передбачених на преміювання у кошторисі та економії коштів на оплату праці.</w:t>
      </w:r>
    </w:p>
    <w:p w:rsidR="00537629" w:rsidRDefault="00537629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На створення річного фонду преміювання спрямовуються кошти у розмірі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10 </w:t>
      </w:r>
      <w:r w:rsidR="00D2178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 30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відсотків посадових окладів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межах фонду оплати праці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B7098" w:rsidRDefault="004B7098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7098" w:rsidRPr="003D28ED" w:rsidRDefault="004B7098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4B7098" w:rsidRDefault="00537629" w:rsidP="00D06FC2">
      <w:pPr>
        <w:shd w:val="clear" w:color="auto" w:fill="FFFFFF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</w:t>
      </w:r>
    </w:p>
    <w:p w:rsidR="00537629" w:rsidRDefault="00537629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2.3.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Видатки на преміювання передбачаються в кошторисі сільської  ради.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243769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2.4.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Нарахування проводяться до фактично відпрацьованого часу за поточний період.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rFonts w:ascii="Arial" w:hAnsi="Arial" w:cs="Arial"/>
          <w:color w:val="000000"/>
          <w:sz w:val="21"/>
          <w:szCs w:val="21"/>
        </w:rPr>
        <w:t> </w:t>
      </w:r>
    </w:p>
    <w:p w:rsidR="00537629" w:rsidRPr="003D28ED" w:rsidRDefault="00537629" w:rsidP="00D06FC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  Показники преміювання і розмір премії.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Преміювання працівників апарату сільської ради  та встановлення їм надбавок здійснюється на підставі всебічного аналізу виконання ними основних обов’язків відповідно до розпорядження сільського голови в межах коштів, передбачених на преміювання.</w:t>
      </w:r>
    </w:p>
    <w:p w:rsidR="00A111A1" w:rsidRDefault="00537629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 3.2.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Премія нараховується працівникам у відсотках до посадового окладу</w:t>
      </w:r>
      <w:r w:rsidR="00A111A1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 3.3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Основними показниками (умовами) для преміювання працівників апарату сільської ради є: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      - раціональна і ефективна організація роботи колективу та добросовісне виконання посадових обов’язків;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- прийняття ефективних управлінських рішень, висока результативність у роботі;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 своєчасність та якість підготовки довідкових та аналітичних матеріалів до проектів нормативно-правових актів для розгляду на сесіях та засіданнях виконкому сільської ради;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  налагодження тісної співпраці з громадськістю, відповідними службами району, села, підприємствами, підприємцями;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 своєчасне і ефективне виконання розпоряджень, рекомендацій вищих органів влади, завдань і доручень поставлених керівництвом сільської ради;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творчість, ініціатива, професійність та використання ефективних методів роботи;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якісна та своєчасна підготовка документів;</w:t>
      </w:r>
    </w:p>
    <w:p w:rsidR="00537629" w:rsidRDefault="00537629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якісна і ефективна робота з листами та зверненнями громадян;</w:t>
      </w:r>
    </w:p>
    <w:p w:rsidR="00537629" w:rsidRPr="00044CE8" w:rsidRDefault="00537629" w:rsidP="00D06FC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терміновість виконання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доручень поставлених керівництвом сільської ради;</w:t>
      </w:r>
    </w:p>
    <w:p w:rsidR="00537629" w:rsidRPr="003D28ED" w:rsidRDefault="00537629" w:rsidP="00D06FC2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виконання додаткового обсягу завдань;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додатково відпрацьований час;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виконання робіт, які не входять до посадових обов’язків згідно з посадовою інструкцією;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постійне самовдосконалення, підвищення професійної кваліфікації;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 - належне утримання робочого місця, збереження майна сільської ради та його раціональне і бережливе використання;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 - дотримання вимог трудового законодавства, правил трудового розпорядку, трудової і штатно-фінансової дисципліни, техніки безпеки та охорони праці і пожежної безпеки.</w:t>
      </w:r>
    </w:p>
    <w:p w:rsidR="00537629" w:rsidRPr="00AB32EB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3.4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Недотримання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показників (умов)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п.п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 3.3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тягне за собою зменшення розміру премії або її позбавлення. Підставою для цього також є: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- прогул (в тому числі, відсутність на роботі більше 3-х годин протягом робочого дня) без поважних причин;</w:t>
      </w:r>
    </w:p>
    <w:p w:rsidR="00537629" w:rsidRDefault="00537629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   - невиконання або неякісне виконання посадовою особою місцевого самоврядування обов’язків, передбачених ст. 8 Закону України </w:t>
      </w:r>
      <w:proofErr w:type="spellStart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”Про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службу в органах місцевого самоврядування “;</w:t>
      </w:r>
    </w:p>
    <w:p w:rsidR="00FE7820" w:rsidRDefault="00FE7820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E7820" w:rsidRPr="003D28ED" w:rsidRDefault="00FE7820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FE7820" w:rsidRDefault="00537629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       </w:t>
      </w:r>
    </w:p>
    <w:p w:rsidR="004B7098" w:rsidRDefault="004B7098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7098" w:rsidRDefault="004B7098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 порушення посадовою особою місцевого самоврядування Загальних прави</w:t>
      </w:r>
      <w:r w:rsidR="00FE78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 поведінки посадової особи органів місцевого самоврядування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- притягнення працівника до дисциплінарної відповідальності чи застосування до нього заходів громадського впливу;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- неналежне утримання робочого місця, порушення Правил внутрішнього трудового розпорядку, інструкцій по техніці безпеки, пожежної безпеки та правил санітарії і гігієни;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 нераціональне використання енергоносіїв, витратних матеріалів, тощо;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3.5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Повне або часткове позбавлення премії проводиться за той розрахунковий період, у якому мало місце упущення в роботі чи здійснення проступку;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3.6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Максимальна межа премії для кожного працівника не встановлюється.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rFonts w:ascii="Arial" w:hAnsi="Arial" w:cs="Arial"/>
          <w:color w:val="000000"/>
          <w:sz w:val="21"/>
          <w:szCs w:val="21"/>
        </w:rPr>
        <w:t> </w:t>
      </w:r>
    </w:p>
    <w:p w:rsidR="00537629" w:rsidRPr="003D28ED" w:rsidRDefault="00537629" w:rsidP="00D06FC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 Установлення надбавок.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4.1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 Законодавством визначено два види надбавок: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-  надбавка за висок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і досягнення у праці</w:t>
      </w:r>
      <w:r w:rsidR="00FE78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або 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виконання особливо важливої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роботи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 4.2.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Надбавк</w:t>
      </w:r>
      <w:r w:rsidR="00FE78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за високі досягнення у праці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або за вик</w:t>
      </w:r>
      <w:r w:rsidR="00FE78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онання особливо важливої роботи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встановлюється службовцям у розмірі до 50 відсотків посадового окладу з урахуванням надбавки за  вислугу років відповідно до розпорядження сільського  голови.</w:t>
      </w:r>
    </w:p>
    <w:p w:rsidR="00537629" w:rsidRPr="00FE7820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4.3.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Надбавка за високі досягнення у праці</w:t>
      </w:r>
      <w:r w:rsidR="00FE78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або </w:t>
      </w:r>
      <w:r w:rsidR="00FE7820"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виконання особливо важливої</w:t>
      </w:r>
      <w:r w:rsidR="00FE782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роботи 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встановлюється праців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никам за умови сумлінного та якісного виконання ними своїх посадових обов'язків, ініціативності та відсутності порушень трудової дисципліни.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 4.4.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Надбавка за виконання особливо важливої роботи встановлюється на чітко визначений термін, тобто на період виконання цієї роботи.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 4.5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.Працівникам може встановлюватися одночасно лише одна з цих надбавок.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4.6.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Відповідно  до наказу  Міністерства  праці  України  № 77  від  02.10.96 р. із змінами може встановлюватися  надбавка  робітникам  апарату сільської  ради  за  складність  та  напруженість  у  роботі в розмірі до 50% місячного окладу.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4.7.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У разі несвоєчасного виконання завдань, погіршення якості роботи і порушення трудової дисципліни надбавка за високі досягнення у праці скасовується або розмір її зменшується у порядку, визначеному для їх встановлення.</w:t>
      </w:r>
    </w:p>
    <w:p w:rsidR="00537629" w:rsidRPr="003D28ED" w:rsidRDefault="00537629" w:rsidP="00D06FC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  Порядок преміювання</w:t>
      </w:r>
    </w:p>
    <w:p w:rsidR="00537629" w:rsidRDefault="00537629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 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Преміювання працівників апарату сільської ради, встановлення  їм надбавок здійснюється на підставі оцінки та всебічного аналізу виконання ними посадових обов'язків і завдань.</w:t>
      </w:r>
    </w:p>
    <w:p w:rsidR="00D06FC2" w:rsidRPr="00A17CED" w:rsidRDefault="00D06FC2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A17C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5.2</w:t>
      </w:r>
      <w:r w:rsidR="00537629"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37629"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Бухгалте</w:t>
      </w:r>
      <w:r w:rsidR="004B709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 сільської  ради щомісяця до 20</w:t>
      </w:r>
      <w:r w:rsidR="00537629"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числа розра</w:t>
      </w:r>
      <w:r w:rsidR="00537629"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ховує загальну суму коштів, що спрямовуються на преміювання, та подає на розгляд керівництву сільської ради.</w:t>
      </w:r>
    </w:p>
    <w:p w:rsidR="00D06FC2" w:rsidRDefault="00537629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5.</w:t>
      </w:r>
      <w:r w:rsidR="00A17C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  Встановлення або позбавлення  премії працівникам апарату </w:t>
      </w:r>
    </w:p>
    <w:p w:rsidR="00537629" w:rsidRDefault="00537629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сільської ради здійснюється на підставі розпорядження сільського  г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олови</w:t>
      </w:r>
    </w:p>
    <w:p w:rsidR="00D21780" w:rsidRPr="00D06FC2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</w:t>
      </w:r>
      <w:r w:rsidR="00A17C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5.4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Секретар сільської ради преміюється за рішенням голови</w:t>
      </w:r>
      <w:r w:rsidR="00D06FC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B7098" w:rsidRDefault="00A17CED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5.5</w:t>
      </w:r>
      <w:r w:rsidR="00D06FC2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37629"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3762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7629"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Сільський голова преміюється на підставі рішення сесії, яке приймається, як правило, один раз на рік, при затвердженні сільського 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бюджету, у якому вказується про порядок оплати праці сільського  голови, в  тому числі розмір премії, тривалість періоду протягом якого дана премія виплачуватиметься;</w:t>
      </w:r>
    </w:p>
    <w:p w:rsidR="00537629" w:rsidRDefault="00A17CED" w:rsidP="00D06FC2">
      <w:pPr>
        <w:shd w:val="clear" w:color="auto" w:fill="FFFFFF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 5.6</w:t>
      </w:r>
      <w:r w:rsidR="00537629"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37629"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Розмір премії з нагоди ювілейних дат</w:t>
      </w:r>
      <w:r w:rsidR="0053762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державних і професійного свята Дня місцевого самоврядування </w:t>
      </w:r>
      <w:r w:rsidR="00537629"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сільського голови встановлюється в тому ж розмірі, що був встановлений головою для працівників апарату сільської ради.</w:t>
      </w:r>
    </w:p>
    <w:p w:rsidR="00537629" w:rsidRPr="00181A33" w:rsidRDefault="00537629" w:rsidP="00D06FC2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181A33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181A33">
        <w:rPr>
          <w:b/>
          <w:sz w:val="28"/>
          <w:szCs w:val="28"/>
        </w:rPr>
        <w:t>Надання матеріальної допомоги</w:t>
      </w:r>
    </w:p>
    <w:p w:rsidR="00537629" w:rsidRDefault="00537629" w:rsidP="00D06FC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181A33">
        <w:rPr>
          <w:b/>
          <w:sz w:val="28"/>
          <w:szCs w:val="28"/>
        </w:rPr>
        <w:t>.1.</w:t>
      </w:r>
      <w:r w:rsidRPr="00181A33">
        <w:rPr>
          <w:sz w:val="28"/>
          <w:szCs w:val="28"/>
        </w:rPr>
        <w:t xml:space="preserve"> Матеріальна допомога на оздоровлення відповідно до </w:t>
      </w:r>
      <w:r>
        <w:rPr>
          <w:sz w:val="28"/>
          <w:szCs w:val="28"/>
        </w:rPr>
        <w:t xml:space="preserve">Закону України «Про місцеве самоврядування в Україні» ст. 21 ч. 5. </w:t>
      </w:r>
      <w:r w:rsidRPr="00181A33">
        <w:rPr>
          <w:sz w:val="28"/>
          <w:szCs w:val="28"/>
        </w:rPr>
        <w:t xml:space="preserve"> надається і виплачується </w:t>
      </w:r>
      <w:r w:rsidRPr="00181A33">
        <w:rPr>
          <w:color w:val="000000"/>
          <w:sz w:val="28"/>
          <w:szCs w:val="28"/>
        </w:rPr>
        <w:t>в розмірі</w:t>
      </w:r>
      <w:r>
        <w:rPr>
          <w:color w:val="000000"/>
          <w:sz w:val="28"/>
          <w:szCs w:val="28"/>
        </w:rPr>
        <w:t xml:space="preserve"> посадового окладу.</w:t>
      </w:r>
    </w:p>
    <w:p w:rsidR="00537629" w:rsidRPr="00181A33" w:rsidRDefault="00537629" w:rsidP="00D06FC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181A33">
        <w:rPr>
          <w:b/>
          <w:color w:val="000000"/>
          <w:sz w:val="28"/>
          <w:szCs w:val="28"/>
        </w:rPr>
        <w:t>.2</w:t>
      </w:r>
      <w:r w:rsidRPr="00181A33">
        <w:rPr>
          <w:color w:val="000000"/>
          <w:sz w:val="28"/>
          <w:szCs w:val="28"/>
        </w:rPr>
        <w:t xml:space="preserve">. Матеріальна допомога працівникам для вирішення соціально-побутових питань надається за їх заявою та розпорядженням </w:t>
      </w:r>
      <w:r w:rsidRPr="00181A33">
        <w:rPr>
          <w:sz w:val="28"/>
          <w:szCs w:val="28"/>
        </w:rPr>
        <w:t>сільського</w:t>
      </w:r>
      <w:r w:rsidRPr="00181A33">
        <w:rPr>
          <w:color w:val="000000"/>
          <w:sz w:val="28"/>
          <w:szCs w:val="28"/>
        </w:rPr>
        <w:t xml:space="preserve"> голови в розмірі, що не перевищує розмір середньомісячної заробітної плати.</w:t>
      </w:r>
    </w:p>
    <w:p w:rsidR="00537629" w:rsidRPr="00181A33" w:rsidRDefault="00537629" w:rsidP="00D06FC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181A33">
        <w:rPr>
          <w:b/>
          <w:sz w:val="28"/>
          <w:szCs w:val="28"/>
        </w:rPr>
        <w:t>.3.</w:t>
      </w:r>
      <w:r w:rsidRPr="00181A33">
        <w:rPr>
          <w:sz w:val="28"/>
          <w:szCs w:val="28"/>
        </w:rPr>
        <w:t xml:space="preserve"> Питання щодо надання матеріальної допомоги працівникам, які зайняті обслуговуванням органів місцевого самоврядування, вирішується сільським головою і виплачується </w:t>
      </w:r>
      <w:r w:rsidRPr="00181A33">
        <w:rPr>
          <w:color w:val="000000"/>
          <w:sz w:val="28"/>
          <w:szCs w:val="28"/>
        </w:rPr>
        <w:t>в розмірі, що не перевищує розмір середньомісячної заробітної плати.</w:t>
      </w:r>
    </w:p>
    <w:p w:rsidR="00537629" w:rsidRPr="003D28ED" w:rsidRDefault="00537629" w:rsidP="00D06FC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Інші умови.</w:t>
      </w:r>
    </w:p>
    <w:p w:rsidR="00537629" w:rsidRPr="003D28E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 7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.1.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Нарахування та виплата п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ремій здійснюється бухгалтерією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П’ядицької</w:t>
      </w:r>
      <w:proofErr w:type="spellEnd"/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сільської ради на підставі відповідного розпорядження сільського голови;</w:t>
      </w:r>
    </w:p>
    <w:p w:rsidR="00537629" w:rsidRPr="0057101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   7</w:t>
      </w:r>
      <w:r w:rsidRPr="003D28E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.2.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Нарахована премія за місяць та інші премії і надбавки виплачуються одноча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сно з виплатою заробітної плати</w:t>
      </w:r>
      <w:r w:rsidRPr="003D28E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D28ED">
        <w:rPr>
          <w:rFonts w:ascii="Arial" w:hAnsi="Arial" w:cs="Arial"/>
          <w:color w:val="000000"/>
          <w:sz w:val="21"/>
          <w:szCs w:val="21"/>
        </w:rPr>
        <w:t> </w:t>
      </w:r>
    </w:p>
    <w:p w:rsidR="00537629" w:rsidRPr="0057101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537629" w:rsidRPr="0057101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537629" w:rsidRPr="0057101D" w:rsidRDefault="00537629" w:rsidP="00D06FC2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537629" w:rsidRPr="000745A9" w:rsidRDefault="00537629" w:rsidP="00D06FC2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</w:t>
      </w:r>
      <w:r w:rsidRPr="000745A9">
        <w:rPr>
          <w:color w:val="000000"/>
          <w:sz w:val="28"/>
          <w:szCs w:val="28"/>
        </w:rPr>
        <w:t>Сільський голова                                  Петро Гайдейчук</w:t>
      </w:r>
    </w:p>
    <w:p w:rsidR="00537629" w:rsidRPr="00F75834" w:rsidRDefault="00537629" w:rsidP="00D06FC2">
      <w:pPr>
        <w:jc w:val="both"/>
      </w:pPr>
    </w:p>
    <w:p w:rsidR="00CA4DC4" w:rsidRPr="00F36CC8" w:rsidRDefault="00CA4DC4" w:rsidP="00D06FC2">
      <w:pPr>
        <w:jc w:val="both"/>
        <w:rPr>
          <w:rFonts w:eastAsia="MS Mincho"/>
          <w:b/>
        </w:rPr>
      </w:pPr>
    </w:p>
    <w:sectPr w:rsidR="00CA4DC4" w:rsidRPr="00F36CC8" w:rsidSect="00D45EC6">
      <w:pgSz w:w="11906" w:h="16838" w:code="9"/>
      <w:pgMar w:top="142" w:right="1335" w:bottom="0" w:left="13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BB8"/>
    <w:multiLevelType w:val="hybridMultilevel"/>
    <w:tmpl w:val="E1E802C0"/>
    <w:lvl w:ilvl="0" w:tplc="511050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2349"/>
    <w:rsid w:val="0000032B"/>
    <w:rsid w:val="000C6C19"/>
    <w:rsid w:val="000E63D4"/>
    <w:rsid w:val="00101715"/>
    <w:rsid w:val="00154988"/>
    <w:rsid w:val="0017495D"/>
    <w:rsid w:val="001878E0"/>
    <w:rsid w:val="001A5E59"/>
    <w:rsid w:val="002652A2"/>
    <w:rsid w:val="002F258C"/>
    <w:rsid w:val="0035302A"/>
    <w:rsid w:val="003A2734"/>
    <w:rsid w:val="003B599A"/>
    <w:rsid w:val="003D5F48"/>
    <w:rsid w:val="00491F2E"/>
    <w:rsid w:val="004B7098"/>
    <w:rsid w:val="004D2349"/>
    <w:rsid w:val="00512F1B"/>
    <w:rsid w:val="00537629"/>
    <w:rsid w:val="005A4196"/>
    <w:rsid w:val="005D2FC5"/>
    <w:rsid w:val="0067645D"/>
    <w:rsid w:val="006961C6"/>
    <w:rsid w:val="006B0BA9"/>
    <w:rsid w:val="006D1165"/>
    <w:rsid w:val="007F2CDA"/>
    <w:rsid w:val="00804647"/>
    <w:rsid w:val="008A51BD"/>
    <w:rsid w:val="00920B11"/>
    <w:rsid w:val="00926F94"/>
    <w:rsid w:val="009B66F1"/>
    <w:rsid w:val="00A111A1"/>
    <w:rsid w:val="00A17394"/>
    <w:rsid w:val="00A17CED"/>
    <w:rsid w:val="00AA3A21"/>
    <w:rsid w:val="00AC5BB2"/>
    <w:rsid w:val="00AE3152"/>
    <w:rsid w:val="00B71971"/>
    <w:rsid w:val="00BE1F71"/>
    <w:rsid w:val="00C7551B"/>
    <w:rsid w:val="00CA4DC4"/>
    <w:rsid w:val="00D06FC2"/>
    <w:rsid w:val="00D21780"/>
    <w:rsid w:val="00D37197"/>
    <w:rsid w:val="00D45EC6"/>
    <w:rsid w:val="00E02519"/>
    <w:rsid w:val="00E346EF"/>
    <w:rsid w:val="00E73924"/>
    <w:rsid w:val="00F36CC8"/>
    <w:rsid w:val="00F56DEB"/>
    <w:rsid w:val="00F57503"/>
    <w:rsid w:val="00F73C46"/>
    <w:rsid w:val="00F83CAE"/>
    <w:rsid w:val="00FE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2349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2349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4D23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23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4D234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4">
    <w:name w:val="Font Style14"/>
    <w:basedOn w:val="a0"/>
    <w:rsid w:val="004D234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4D2349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4D2349"/>
  </w:style>
  <w:style w:type="paragraph" w:styleId="a7">
    <w:name w:val="No Spacing"/>
    <w:uiPriority w:val="1"/>
    <w:qFormat/>
    <w:rsid w:val="00E346EF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D2349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D2349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Body Text"/>
    <w:basedOn w:val="a"/>
    <w:link w:val="a6"/>
    <w:uiPriority w:val="99"/>
    <w:semiHidden/>
    <w:unhideWhenUsed/>
    <w:rsid w:val="004D23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23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4D2349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4">
    <w:name w:val="Font Style14"/>
    <w:basedOn w:val="a0"/>
    <w:rsid w:val="004D234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4D2349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4D2349"/>
  </w:style>
  <w:style w:type="paragraph" w:styleId="a7">
    <w:name w:val="No Spacing"/>
    <w:uiPriority w:val="1"/>
    <w:qFormat/>
    <w:rsid w:val="00E346EF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435A1-6685-432C-9CE1-B5057F61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</dc:creator>
  <cp:lastModifiedBy>Оргвiддiл</cp:lastModifiedBy>
  <cp:revision>14</cp:revision>
  <cp:lastPrinted>2021-02-24T12:03:00Z</cp:lastPrinted>
  <dcterms:created xsi:type="dcterms:W3CDTF">2021-02-19T13:28:00Z</dcterms:created>
  <dcterms:modified xsi:type="dcterms:W3CDTF">2021-02-24T14:02:00Z</dcterms:modified>
</cp:coreProperties>
</file>